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167/04 vom 29. Oktober 2004</w:t>
      </w:r>
    </w:p>
    <w:p>
      <w:r>
        <w:t>Bundesstrafgericht, 2004-10-29, DE</w:t>
      </w:r>
    </w:p>
    <w:p>
      <w:r>
        <w:rPr>
          <w:b/>
        </w:rPr>
        <w:t xml:space="preserve">Quelle: </w:t>
      </w:r>
      <w:r>
        <w:t>https://mcp.opencaselaw.ch/entscheid/bstger_BK_H 167_04</w:t>
      </w:r>
    </w:p>
    <w:p>
      <w:r>
        <w:t>FR: TPF BK_H 167/04 du 29 octobre 2004</w:t>
      </w:r>
    </w:p>
    <w:p>
      <w:r>
        <w:t>IT: TPF BK_H 167/04 del 29 ottobre 2004</w:t>
      </w:r>
    </w:p>
    <w:p>
      <w:pPr>
        <w:pStyle w:val="Heading2"/>
      </w:pPr>
      <w:r>
        <w:t>Regeste</w:t>
      </w:r>
    </w:p>
    <w:p>
      <w:r>
        <w:t>Beschwerde gegen Abweisung eines Haftentlassungsgesuchs (Art. 52 BStP)</w:t>
      </w:r>
    </w:p>
    <w:p>
      <w:pPr>
        <w:pStyle w:val="Heading2"/>
      </w:pPr>
      <w:r>
        <w:t>Erwägungen</w:t>
      </w:r>
    </w:p>
    <w:p>
      <w:r>
        <w:rPr>
          <w:b/>
        </w:rPr>
        <w:t>E. 30</w:t>
      </w:r>
    </w:p>
    <w:p>
      <w:r>
        <w:t>September 2004 im rechtlichen Sinne beschwert ist; – dass der Beschwerdeführer gestützt auf Art. 51 Abs. 1 BStP vorbehältlich rechtsmissbräuchlichen Vorgehens jederzeit berechtigt ist, ein Haftentlas- sungsgesuch einzureichen und damit überprüfen zu lassen, ob die notwen- digen Haftgründe gegeben sind; – dass die Beschwerdekammer ihrem Entscheid die Verhältnisse zugrunde legt, wie sie zum Zeitpunkt des Entscheides bestehen; – dass die Frist für die Beschwerde gemäss Art. 217 BStP eingehalten wur- de; – dass die von der Beschwerdegegnerin eingereichten, belastenden Be- weismittel (insbesondere der Zwischenbericht der fedpol vom 16. August 2004 bzw. dessen Beilagen wie insbesondere die Kontoblätter der Konten B.______ bis März 1995, die Faxanweisungen für anonyme Geldübergaben vom 3. Februar 1999 und vom 7. September 1999 [als Identifikation der Geldboten dient eine Banknote], die Aussage des Be- schwerdeführers, dass er D.______ sehr gut kenne [vgl. Einvernahme des Beschwerdeführers vom 31. August 2004, S. 10], die Aussage des Be- schwerdeführers, dass es sich bei B.______ um C.______ handle [vgl. Einvernahme des Beschwerdeführers vom 31. August 2004, S. 16], die Aussage des Beschwerdeführers, dass im März 1995 die Polizei ihm mitge- teilt habe, der richtige Name von B.______ sei C.______ [vgl. Einvernahme des Beschwerdeführers vom 8. September 2004, S. 3], die Aussage des Beschwerdeführers mit Bezug auf C.______, aufgrund der Tatsache, dass die Schweiz gegen diesen eingeschritten sei, denke er, dass es sich um Verbrechen gehandelt habe, die auch in der Schweiz strafbar seien [vgl. Einvernahme des Beschwerdeführers vom 29. September 2004, S. 2], die Aussage des Beschwerdeführers, dass er Geld von Personen entgegenge- nommen habe, ohne diese Personen zu identifizieren [vgl. Einvernahme des Beschwerdeführers vom 20. September 2004, S. 6], die Aussage des Beschwerdeführers, dass für eine Kontoeröffnung bei der Bank das ganze Geschäft offen gelegt werden müsse und es deshalb nicht einfach sei, ein Konto zu eröffnen [vgl. Einvernahme des Beschwerdeführers vom 29. Sep-</w:t>
      </w:r>
    </w:p>
    <w:p>
      <w:r>
        <w:t>- 4 -</w:t>
      </w:r>
    </w:p>
    <w:p>
      <w:r>
        <w:t>tember 2004, S. 9], die Aussage von D.______, der den Beschwerdeführer anhand einer Fotografie identifizierte und dazu bemerkte, man habe den Geldwechsler A.______ genannt [vgl. Einvernahme von D.______ vom 6. Oktober 2004, S. 2], die Aussage von D.______, er habe aus Angst um seine Familie eine Steuer für den Zigarettenschmuggel an einen E.______ bezahlt, und dieser E.______ sei als Mafioso bekannt gewesen [vgl. Ein- vernahme von D.______ vom 14. Oktober 2004, S. 5] sowie das Urteil des Tribunale Civile e Penale di Bari vom 17. Juli 2001) einen dringenden Tat- verdacht gegen den Beschwerdeführer wegen Unterstützung von bzw. Be- teiligung an einer kriminellen Organisation im Sinne von Art. 260ter StGB und Geldwäscherei im Sinne von Art. 305bis StGB bestätigen; – dass bezüglich der Kollusionsgefahr in erster Linie auf die Begründung des Haftgerichtes IV Berner Oberland im Haftentscheid vom 2. Septem- ber 2004, S. 8, hingewiesen werden kann, die auch im heutigen Zeitpunkt nach wie vor zutreffend ist, und dass der Beschwerdeführer durch sein de- fensives und widersprüchliches Aussageverhalten (beispielsweise der Wi- derspruch zwischen der Aussage des Beschwerdeführers, er habe nur mit F.______ gearbeitet, nie mit D.______ [vgl. Einvernahme des Beschwerde- führers vom 15. September 2004, S. 8], und der Aussagen von D.______, dass er mit A.______ [dem Beschwerdeführer] seit sehr langer Zeit, ver- mutlich schon vor 1990 Kontakt hatte [vgl. Einvernahme von D.______ vom 6. Oktober 2004, S. 5], dass er mit A.______ am Telefon gesprochen und ihm Zahlungsinstruktionen gegeben habe [vgl. Einvernahme von D.______ vom 6. Oktober 2004, S. 9], oder die Behauptung des Beschwerdeführers, er habe die Geldüberbringer gekannt, wobei sich dann später herausstellte, dass dem Beschwerdeführer kaum der Übername gewisser Geldlieferanten bekannt war [vgl. Einvernahme des Beschwerdeführers vom 29. Septem- ber 2004, S. 5], und dann wieder die Behauptung des Beschwerdeführers, er habe keinen direkten Kontakt zu diesen Geldlieferanten gehabt [vgl. Ein- vernahme des Beschwerdeführers vom 29. September 2004, S. 9]) den Zeitpunkt, in welchem die Kollusionsgefahr als gebannt gelten kann, selber weiter hinausschiebt, weshalb der Haftgrund der Kollusionsgefahr gemäss Art. 44 Ziffer 2 BStP nach wie vor gegeben ist; – dass in Anbetracht der abzuklärenden Delikte sowie der im Falle einer Ver- urteilung zu erwartenden Freiheitsstrafe auch längere Untersuchungshaft ohne weiteres verhältnismässig ist; – dass angesichts der vorläufig noch bestehenden Kollusionsgefahr die Fra- ge dahingestellt bleiben kann, ob zusätzlich auch der besondere Haftgrund der Fluchtgefahr gegeben ist;</w:t>
      </w:r>
    </w:p>
    <w:p>
      <w:r>
        <w:t>- 5 -</w:t>
      </w:r>
    </w:p>
    <w:p>
      <w:r>
        <w:t>– dass die Kosten für das Beschwerdeverfahren gestützt auf Art. 245 BStP i.V.m. Art. 149 ff. OG festzusetzen und zu verlegen bzw. gestützt auf das Reglement über die Entschädigung in Verfahren vor dem Bundesstrafge- richt vom 11. Februar 2004 (SR 173.711.31) und das Reglement über die Gerichtsgebühren vor dem Bundesstrafgericht vom 11. Februar 2004 (SR 173.711.32) zu bemessen sind; – dass der vorliegenden Sache eine Gerichtsgebühr von Fr. 1'000.-- ange- messen ist,</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